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dispositivos que menciona na Lei Municipal nº 6.886, de 19 de julho de 2022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