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nta dispositivos que menciona na Lei Municipal nº 6.886, de 19 de julho de 2022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