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Queimadas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5, altura do n° 2, Residencial Recanto das Árvores, Sumaré -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agosto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585133" name="image4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24053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6185181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626672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358782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7136318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4706288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