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910C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4BEC" w:rsidR="00504BEC">
        <w:rPr>
          <w:rFonts w:ascii="Tahoma" w:hAnsi="Tahoma" w:cs="Tahoma"/>
          <w:b/>
          <w:bCs/>
          <w:sz w:val="24"/>
          <w:szCs w:val="24"/>
        </w:rPr>
        <w:t>Rua Alberto Nepomuceno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 xml:space="preserve">em frente ao número </w:t>
      </w:r>
      <w:r w:rsidR="00504BEC">
        <w:rPr>
          <w:rFonts w:ascii="Tahoma" w:hAnsi="Tahoma" w:cs="Tahoma"/>
          <w:sz w:val="24"/>
          <w:szCs w:val="24"/>
        </w:rPr>
        <w:t>21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04BEC" w:rsidR="00504BEC">
        <w:rPr>
          <w:rFonts w:ascii="Tahoma" w:hAnsi="Tahoma" w:cs="Tahoma"/>
          <w:b/>
          <w:bCs/>
          <w:sz w:val="24"/>
          <w:szCs w:val="24"/>
        </w:rPr>
        <w:t>Parque Residencial Versailles</w:t>
      </w:r>
      <w:r w:rsidR="00504BE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257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2023-08-22T12:12:00Z</dcterms:created>
  <dcterms:modified xsi:type="dcterms:W3CDTF">2023-08-22T12:12:00Z</dcterms:modified>
</cp:coreProperties>
</file>