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ementa e os artigos 1ª e 3º da Lei Ordinária Municipal nº 5.913 de 20 de janeiro de 2017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