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8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a ementa e os artigos 1ª e 3º da Lei Ordinária Municipal nº 5.913 de 20 de janeiro de 2017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