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88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a ementa e os artigos 1ª e 3º da Lei Ordinária Municipal nº 5.913 de 20 de janeiro de 2017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