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188/2023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WILLIAN SOUZA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Altera a ementa e os artigos 1ª e 3º da Lei Ordinária Municipal nº 5.913 de 20 de janeiro de 2017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