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188/2023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ementa e os artigos 1ª e 3º da Lei Ordinária Municipal nº 5.913 de 20 de janeiro de 2017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