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188/2023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Altera a ementa e os artigos 1ª e 3º da Lei Ordinária Municipal nº 5.913 de 20 de janeiro de 2017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