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187/2023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Altera a ementa e os artigos 1ª e 3º da Lei Ordinária Municipal nº 6.942 de 30 de setembro de 2022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