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8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a ementa e os artigos 1ª e 3º da Lei Ordinária Municipal nº 6.942 de 30 de setembro de 2022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