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a ementa e os artigos 1ª e 3º da Lei Ordinária Municipal nº 6.942 de 30 de setembro de 2022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