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ementa e os artigos 1ª e 3º da Lei Ordinária Municipal nº 6.942 de 30 de setembro de 2022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