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 ementa e os artigos 1ª e 3º da Lei Ordinária Municipal nº 6.942 de 30 de setembro de 2022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