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SILVIO COLTRO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parcelamento da taxa de licença de obras denominada “Habite-se”.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