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65/2023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SILVIO COLTRO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parcelamento da taxa de licença de obras denominada “Habite-se”.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