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arcelamento da taxa de licença de obras denominada “Habite-se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