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parcelamento da taxa de licença de obras denominada “Habite-se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