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181/2023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e especial no orçamento vigente no valor de R$ 75.000.000,00 (setenta e cinco milhões de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