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e especial no orçamento vigente no valor de R$ 75.000.000,00 (setenta e cinco milhões de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