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Autoriza o Poder Executivo a criar procedimento junto à Guarda Civil Municipal para a apreensão e destruição de linhas cortantes, cerol, linhas chilenas ou qualquer elemento cortante utilizado para soltar pipas, papagaios e similares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