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Municipal a reparcelar os débitos decorrentes de Contratos de Alienação de lotes Municipais dos loteamentos que menciona, para fins de Regularização Fundiária.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