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reparcelar os débitos decorrentes de Contratos de Alienação de lotes Municipais dos loteamentos que menciona, para fins de Regularização Fundiária.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