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Obrigatoriedade da Disponibilização de Cardápio Impresso nos estabelecimentos que comercializem alimentos e bebidas.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