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752F09" w:rsidRPr="00752F09" w:rsidP="00752F09" w14:paraId="645A5288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:rsidR="00752F09" w:rsidRPr="00752F09" w:rsidP="00752F09" w14:paraId="781D0ADD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Vereador Ulisses Gomes</w:t>
      </w:r>
    </w:p>
    <w:p w:rsidR="00A656F0" w:rsidP="00752F09" w14:paraId="4D3E4040" w14:textId="051F3438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:rsidR="00FF5A86" w:rsidP="00752F09" w14:paraId="62A1ECFC" w14:textId="713C0FA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Gilson Gomes Ferreira – Vice-Presidente</w:t>
      </w:r>
    </w:p>
    <w:p w:rsidR="00FF5A86" w:rsidP="00752F09" w14:paraId="0BE6BFBB" w14:textId="26640C5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752F09" w:rsidP="00752F09" w14:paraId="1922ECE9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154/2023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"Define regras para confecção e comercialização de carimbos profissionais personalizados e dá outras providências."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720A0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2023-06-15T18:36:00Z</dcterms:modified>
</cp:coreProperties>
</file>