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163CF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CA4991">
        <w:rPr>
          <w:rFonts w:ascii="Arial" w:hAnsi="Arial" w:cs="Arial"/>
          <w:sz w:val="24"/>
          <w:szCs w:val="24"/>
        </w:rPr>
        <w:t xml:space="preserve">Romilda </w:t>
      </w:r>
      <w:r w:rsidR="00CA4991">
        <w:rPr>
          <w:rFonts w:ascii="Arial" w:hAnsi="Arial" w:cs="Arial"/>
          <w:sz w:val="24"/>
          <w:szCs w:val="24"/>
        </w:rPr>
        <w:t>Tomazin</w:t>
      </w:r>
      <w:r w:rsidR="00CA4991">
        <w:rPr>
          <w:rFonts w:ascii="Arial" w:hAnsi="Arial" w:cs="Arial"/>
          <w:sz w:val="24"/>
          <w:szCs w:val="24"/>
        </w:rPr>
        <w:t xml:space="preserve"> Borro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B46BEC">
        <w:rPr>
          <w:rFonts w:ascii="Arial" w:hAnsi="Arial" w:cs="Arial"/>
          <w:sz w:val="24"/>
          <w:szCs w:val="24"/>
        </w:rPr>
        <w:t>Santo Antônio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3729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97B33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2021-03-01T18:39:00Z</dcterms:created>
  <dcterms:modified xsi:type="dcterms:W3CDTF">2021-03-01T18:39:00Z</dcterms:modified>
</cp:coreProperties>
</file>