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implantar vias de mão única na frente das escolas da rede de ensino municipal, estadual e particular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