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implantação da “Sala de Regulação Sensorial” em atenção à pessoa portadora de Transtorno do Espectro Autista (TEA) no âmbito do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