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145/2023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a implantação da “Sala de Regulação Sensorial” em atenção à pessoa portadora de Transtorno do Espectro Autista (TEA) no âmbito do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junho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