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implantação da “Sala de Regulação Sensorial” em atenção à pessoa portadora de Transtorno do Espectro Autista (TEA) no âmbito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