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as Diretrizes Orçamentárias LDO para o exercício financeiro de 2024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