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0294CB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>, a limpeza d</w:t>
      </w:r>
      <w:r w:rsidR="00381E00">
        <w:rPr>
          <w:rFonts w:ascii="Arial" w:eastAsia="Arial" w:hAnsi="Arial" w:cs="Arial"/>
          <w:color w:val="000000"/>
        </w:rPr>
        <w:t xml:space="preserve">e boca de lobo </w:t>
      </w:r>
      <w:r w:rsidR="001E63D6">
        <w:rPr>
          <w:rFonts w:ascii="Arial" w:eastAsia="Arial" w:hAnsi="Arial" w:cs="Arial"/>
          <w:color w:val="000000"/>
        </w:rPr>
        <w:t xml:space="preserve">e ajuste do asfalto </w:t>
      </w:r>
      <w:r w:rsidR="00381E00">
        <w:rPr>
          <w:rFonts w:ascii="Arial" w:eastAsia="Arial" w:hAnsi="Arial" w:cs="Arial"/>
          <w:color w:val="000000"/>
        </w:rPr>
        <w:t xml:space="preserve">na </w:t>
      </w:r>
      <w:r w:rsidR="001E63D6">
        <w:rPr>
          <w:rFonts w:ascii="Arial" w:eastAsia="Arial" w:hAnsi="Arial" w:cs="Arial"/>
          <w:color w:val="000000"/>
        </w:rPr>
        <w:t>Avenida Pirelli</w:t>
      </w:r>
      <w:r w:rsidR="00381E00">
        <w:rPr>
          <w:rFonts w:ascii="Arial" w:eastAsia="Arial" w:hAnsi="Arial" w:cs="Arial"/>
          <w:color w:val="000000"/>
        </w:rPr>
        <w:t xml:space="preserve">, em frente ao número </w:t>
      </w:r>
      <w:r w:rsidR="001E63D6">
        <w:rPr>
          <w:rFonts w:ascii="Arial" w:eastAsia="Arial" w:hAnsi="Arial" w:cs="Arial"/>
          <w:color w:val="000000"/>
        </w:rPr>
        <w:t>169</w:t>
      </w:r>
      <w:r w:rsidR="00381E00">
        <w:rPr>
          <w:rFonts w:ascii="Arial" w:eastAsia="Arial" w:hAnsi="Arial" w:cs="Arial"/>
          <w:color w:val="000000"/>
        </w:rPr>
        <w:t xml:space="preserve">, do </w:t>
      </w:r>
      <w:r w:rsidR="001E63D6">
        <w:rPr>
          <w:rFonts w:ascii="Arial" w:eastAsia="Arial" w:hAnsi="Arial" w:cs="Arial"/>
          <w:color w:val="000000"/>
        </w:rPr>
        <w:t>Jardim São Gerônimo</w:t>
      </w:r>
      <w:r>
        <w:rPr>
          <w:rFonts w:ascii="Arial" w:eastAsia="Arial" w:hAnsi="Arial" w:cs="Arial"/>
          <w:color w:val="000000"/>
        </w:rPr>
        <w:t xml:space="preserve">, na região </w:t>
      </w:r>
      <w:r w:rsidR="001E63D6">
        <w:rPr>
          <w:rFonts w:ascii="Arial" w:eastAsia="Arial" w:hAnsi="Arial" w:cs="Arial"/>
          <w:color w:val="000000"/>
        </w:rPr>
        <w:t>do Matão</w:t>
      </w:r>
      <w:r>
        <w:rPr>
          <w:rFonts w:ascii="Arial" w:eastAsia="Arial" w:hAnsi="Arial" w:cs="Arial"/>
          <w:color w:val="000000"/>
        </w:rPr>
        <w:t>.</w:t>
      </w:r>
    </w:p>
    <w:p w:rsidR="00381E00" w:rsidP="00967DD7" w14:paraId="6897C2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RPr="00116468" w:rsidP="00967DD7" w14:paraId="5BF523E6" w14:textId="76E7CD7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falta de limpeza promove o entupimento da boca de lobo e o transbordamento de águas pluviais. A água acumulada gera grandes transtornos aos moradores locais e pedestres em geral. </w:t>
      </w:r>
      <w:r w:rsidR="001E63D6">
        <w:rPr>
          <w:rFonts w:ascii="Arial" w:hAnsi="Arial" w:cs="Arial"/>
        </w:rPr>
        <w:t>O asfalto irregular no entorno do bueiro prejudica o tráfego de veículos, expondo os motoristas a manobras bruscas ou riscos de prejuízos materiais, visto que a falta de acabamento no asfalto pode afetar os pneus dos carros e motos.</w:t>
      </w:r>
    </w:p>
    <w:p w:rsidR="009C2B23" w:rsidP="00967DD7" w14:paraId="1EBC9CB1" w14:textId="666F16E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C05D73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E63D6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1E63D6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6468"/>
    <w:rsid w:val="0015657E"/>
    <w:rsid w:val="00156CF8"/>
    <w:rsid w:val="001E63D6"/>
    <w:rsid w:val="002862E8"/>
    <w:rsid w:val="002C3A04"/>
    <w:rsid w:val="002D66A7"/>
    <w:rsid w:val="00352014"/>
    <w:rsid w:val="00381E00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92F3D"/>
    <w:rsid w:val="00967DD7"/>
    <w:rsid w:val="009B60E0"/>
    <w:rsid w:val="009C2B23"/>
    <w:rsid w:val="00A06CF2"/>
    <w:rsid w:val="00A652CB"/>
    <w:rsid w:val="00AE6AEE"/>
    <w:rsid w:val="00B32C1A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2023-06-02T16:38:00Z</dcterms:modified>
</cp:coreProperties>
</file>