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a Caixa Econômica Feder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