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EEB592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manutenção na iluminação pública “troca de lâmpada” na 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212BB">
        <w:rPr>
          <w:rFonts w:ascii="Arial" w:hAnsi="Arial" w:cs="Arial"/>
          <w:bCs/>
          <w:sz w:val="24"/>
          <w:szCs w:val="24"/>
        </w:rPr>
        <w:t>Dos Esporte 277 e 235 Picerno II</w:t>
      </w:r>
    </w:p>
    <w:p w:rsidR="000C4428" w:rsidP="000C4428" w14:paraId="219335E8" w14:textId="15C70123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situação de grande escuridão causando insegurança aos moradores, foi feita visita em loco onde se constatou os serviços supramencionados.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43E9CB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30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41236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212BB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C7396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2023-05-29T14:02:00Z</dcterms:created>
  <dcterms:modified xsi:type="dcterms:W3CDTF">2023-05-29T14:02:00Z</dcterms:modified>
</cp:coreProperties>
</file>