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a criação do Serviço de Recebimento de Denúncias de Violações de Direitos dos Idosos em âmbito municipal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