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B1D" w:rsidRPr="00152E83" w:rsidP="008A1B1D" w14:paraId="6C9F08B0" w14:textId="61F2B4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ermStart w:id="0" w:edGrp="everyone"/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___ DE </w:t>
      </w:r>
      <w:r w:rsidR="00152E83">
        <w:rPr>
          <w:rFonts w:ascii="Arial" w:eastAsia="Times New Roman" w:hAnsi="Arial" w:cs="Arial"/>
          <w:b/>
          <w:sz w:val="24"/>
          <w:szCs w:val="24"/>
          <w:lang w:eastAsia="pt-BR"/>
        </w:rPr>
        <w:t>29</w:t>
      </w:r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152E83">
        <w:rPr>
          <w:rFonts w:ascii="Arial" w:eastAsia="Times New Roman" w:hAnsi="Arial" w:cs="Arial"/>
          <w:b/>
          <w:sz w:val="24"/>
          <w:szCs w:val="24"/>
          <w:lang w:eastAsia="pt-BR"/>
        </w:rPr>
        <w:t>MAIO</w:t>
      </w:r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2023</w:t>
      </w:r>
    </w:p>
    <w:p w:rsidR="00152E83" w:rsidP="00152E83" w14:paraId="5E6B0DBC" w14:textId="77777777">
      <w:pPr>
        <w:spacing w:after="0" w:line="240" w:lineRule="auto"/>
        <w:ind w:left="141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12EA" w:rsidRPr="00152E83" w:rsidP="00152E83" w14:paraId="31924318" w14:textId="0EE7671A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>Isenta os candidatos do pagamento de taxa de inscrição em concursos para provimento de cargo efetivo ou emprego permanente em órgãos ou entidades da administração pública direta e indireta do município de Sumaré.</w:t>
      </w:r>
    </w:p>
    <w:p w:rsidR="00152E83" w:rsidP="00152E83" w14:paraId="36AA3440" w14:textId="77777777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</w:t>
      </w:r>
    </w:p>
    <w:p w:rsidR="008A1B1D" w:rsidP="00152E83" w14:paraId="54095C11" w14:textId="28536BC4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</w:t>
      </w:r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Autor: </w:t>
      </w:r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>Andre</w:t>
      </w:r>
      <w:r w:rsidRPr="00152E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Farmácia</w:t>
      </w:r>
    </w:p>
    <w:p w:rsidR="00152E83" w:rsidP="00152E83" w14:paraId="2DC7B1EC" w14:textId="777777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</w:t>
      </w:r>
    </w:p>
    <w:p w:rsidR="00152E83" w:rsidP="00F51D06" w14:paraId="42380EA1" w14:textId="722F5A06">
      <w:pPr>
        <w:ind w:firstLine="851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O PREFEITO MUNICIPAL DE SUMARÉ</w:t>
      </w:r>
      <w:r>
        <w:rPr>
          <w:rFonts w:ascii="Arial" w:hAnsi="Arial" w:cs="Arial"/>
          <w:b/>
          <w:szCs w:val="24"/>
        </w:rPr>
        <w:t xml:space="preserve"> </w:t>
      </w:r>
      <w:r w:rsidRPr="001D5C81">
        <w:rPr>
          <w:rFonts w:ascii="Arial" w:hAnsi="Arial" w:cs="Arial"/>
          <w:szCs w:val="24"/>
        </w:rPr>
        <w:t xml:space="preserve">Faço saber que a Câmara Municipal de Sumaré </w:t>
      </w:r>
      <w:r>
        <w:rPr>
          <w:rFonts w:ascii="Arial" w:hAnsi="Arial" w:cs="Arial"/>
          <w:szCs w:val="24"/>
        </w:rPr>
        <w:t>decreta</w:t>
      </w:r>
      <w:r w:rsidRPr="001D5C81">
        <w:rPr>
          <w:rFonts w:ascii="Arial" w:hAnsi="Arial" w:cs="Arial"/>
          <w:szCs w:val="24"/>
        </w:rPr>
        <w:t xml:space="preserve"> e eu sanciono a seguinte lei:</w:t>
      </w:r>
    </w:p>
    <w:p w:rsidR="00152E83" w:rsidP="008A1B1D" w14:paraId="31245C79" w14:textId="7B6D8241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Art. 1º</w:t>
      </w:r>
      <w:r w:rsidRPr="00152E83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Esta Lei dispõe sobre a isenção</w:t>
      </w:r>
      <w:r w:rsidRPr="00152E83">
        <w:rPr>
          <w:rFonts w:ascii="Arial" w:eastAsia="Calibri" w:hAnsi="Arial" w:cs="Arial"/>
          <w:szCs w:val="22"/>
        </w:rPr>
        <w:t xml:space="preserve"> do pagamento de taxa de inscrição em concursos públicos </w:t>
      </w:r>
      <w:r>
        <w:rPr>
          <w:rFonts w:ascii="Arial" w:eastAsia="Calibri" w:hAnsi="Arial" w:cs="Arial"/>
          <w:szCs w:val="22"/>
        </w:rPr>
        <w:t>no âmbito do município de Sumaré</w:t>
      </w:r>
    </w:p>
    <w:p w:rsidR="00E312EA" w:rsidRPr="00152E83" w:rsidP="008A1B1D" w14:paraId="378179D4" w14:textId="500C83FB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 xml:space="preserve">Art. </w:t>
      </w:r>
      <w:r>
        <w:rPr>
          <w:rFonts w:ascii="Arial" w:eastAsia="Calibri" w:hAnsi="Arial" w:cs="Arial"/>
          <w:b/>
          <w:bCs/>
          <w:szCs w:val="22"/>
        </w:rPr>
        <w:t>2</w:t>
      </w:r>
      <w:r w:rsidRPr="00152E83">
        <w:rPr>
          <w:rFonts w:ascii="Arial" w:eastAsia="Calibri" w:hAnsi="Arial" w:cs="Arial"/>
          <w:b/>
          <w:bCs/>
          <w:szCs w:val="22"/>
        </w:rPr>
        <w:t>º</w:t>
      </w:r>
      <w:r w:rsidRPr="00152E83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 xml:space="preserve">São </w:t>
      </w:r>
      <w:r>
        <w:rPr>
          <w:rFonts w:ascii="Arial" w:eastAsia="Calibri" w:hAnsi="Arial" w:cs="Arial"/>
          <w:szCs w:val="22"/>
        </w:rPr>
        <w:t>ise</w:t>
      </w:r>
      <w:r>
        <w:rPr>
          <w:rFonts w:ascii="Arial" w:eastAsia="Calibri" w:hAnsi="Arial" w:cs="Arial"/>
          <w:szCs w:val="22"/>
        </w:rPr>
        <w:t>ntos</w:t>
      </w:r>
      <w:r w:rsidRPr="00152E83">
        <w:rPr>
          <w:rFonts w:ascii="Arial" w:eastAsia="Calibri" w:hAnsi="Arial" w:cs="Arial"/>
          <w:szCs w:val="22"/>
        </w:rPr>
        <w:t xml:space="preserve"> do pagamento de taxa de inscrição em concursos públicos</w:t>
      </w:r>
      <w:r>
        <w:rPr>
          <w:rFonts w:ascii="Arial" w:eastAsia="Calibri" w:hAnsi="Arial" w:cs="Arial"/>
          <w:szCs w:val="22"/>
        </w:rPr>
        <w:t xml:space="preserve"> </w:t>
      </w:r>
      <w:r w:rsidRPr="00152E83">
        <w:rPr>
          <w:rFonts w:ascii="Arial" w:eastAsia="Calibri" w:hAnsi="Arial" w:cs="Arial"/>
          <w:szCs w:val="22"/>
        </w:rPr>
        <w:t>para provimento de cargo efetivo ou emprego permanente em órgãos ou entidades da administração pública direta e indireta do município de Sumaré:</w:t>
      </w:r>
    </w:p>
    <w:p w:rsidR="00E312EA" w:rsidRPr="00152E83" w:rsidP="008A1B1D" w14:paraId="7D2B7E46" w14:textId="39C18B93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I –</w:t>
      </w:r>
      <w:r w:rsidRPr="00152E83">
        <w:rPr>
          <w:rFonts w:ascii="Arial" w:eastAsia="Calibri" w:hAnsi="Arial" w:cs="Arial"/>
          <w:szCs w:val="22"/>
        </w:rPr>
        <w:t xml:space="preserve"> </w:t>
      </w:r>
      <w:r w:rsidRPr="00152E83">
        <w:rPr>
          <w:rFonts w:ascii="Arial" w:eastAsia="Calibri" w:hAnsi="Arial" w:cs="Arial"/>
          <w:szCs w:val="22"/>
        </w:rPr>
        <w:t>os</w:t>
      </w:r>
      <w:r w:rsidRPr="00152E83">
        <w:rPr>
          <w:rFonts w:ascii="Arial" w:eastAsia="Calibri" w:hAnsi="Arial" w:cs="Arial"/>
          <w:szCs w:val="22"/>
        </w:rPr>
        <w:t xml:space="preserve"> candidatos que pertençam a família inscrita no Cadastro Único para Programas Sociais (</w:t>
      </w:r>
      <w:r w:rsidRPr="00152E83">
        <w:rPr>
          <w:rFonts w:ascii="Arial" w:eastAsia="Calibri" w:hAnsi="Arial" w:cs="Arial"/>
          <w:szCs w:val="22"/>
        </w:rPr>
        <w:t>CadÚnico</w:t>
      </w:r>
      <w:r w:rsidRPr="00152E83">
        <w:rPr>
          <w:rFonts w:ascii="Arial" w:eastAsia="Calibri" w:hAnsi="Arial" w:cs="Arial"/>
          <w:szCs w:val="22"/>
        </w:rPr>
        <w:t>), do Governo Federal, cuja renda familiar mensal per capita seja inferior ou igual a meio salário-mínimo nacional</w:t>
      </w:r>
      <w:r w:rsidR="00F51D06">
        <w:rPr>
          <w:rFonts w:ascii="Arial" w:eastAsia="Calibri" w:hAnsi="Arial" w:cs="Arial"/>
          <w:szCs w:val="22"/>
        </w:rPr>
        <w:t>.</w:t>
      </w:r>
    </w:p>
    <w:p w:rsidR="00E312EA" w:rsidRPr="00152E83" w:rsidP="008A1B1D" w14:paraId="08982F7B" w14:textId="77777777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II –</w:t>
      </w:r>
      <w:r w:rsidRPr="00152E83">
        <w:rPr>
          <w:rFonts w:ascii="Arial" w:eastAsia="Calibri" w:hAnsi="Arial" w:cs="Arial"/>
          <w:szCs w:val="22"/>
        </w:rPr>
        <w:t xml:space="preserve"> </w:t>
      </w:r>
      <w:r w:rsidRPr="00152E83">
        <w:rPr>
          <w:rFonts w:ascii="Arial" w:eastAsia="Calibri" w:hAnsi="Arial" w:cs="Arial"/>
          <w:szCs w:val="22"/>
        </w:rPr>
        <w:t>os</w:t>
      </w:r>
      <w:r w:rsidRPr="00152E83">
        <w:rPr>
          <w:rFonts w:ascii="Arial" w:eastAsia="Calibri" w:hAnsi="Arial" w:cs="Arial"/>
          <w:szCs w:val="22"/>
        </w:rPr>
        <w:t xml:space="preserve"> candidatos doadores de medula óssea em entidades reconhecidas pelo Ministério da Saúde.</w:t>
      </w:r>
    </w:p>
    <w:p w:rsidR="00E312EA" w:rsidRPr="00152E83" w:rsidP="008A1B1D" w14:paraId="51623276" w14:textId="77777777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Parágrafo único.</w:t>
      </w:r>
      <w:r w:rsidRPr="00152E83">
        <w:rPr>
          <w:rFonts w:ascii="Arial" w:eastAsia="Calibri" w:hAnsi="Arial" w:cs="Arial"/>
          <w:szCs w:val="22"/>
        </w:rPr>
        <w:t xml:space="preserve"> O cumprimento dos requisitos para a concessão da isenção deverá ser comprovado pelo candidato no momento da inscrição, nos termos do edital do concurso.</w:t>
      </w:r>
    </w:p>
    <w:p w:rsidR="00E312EA" w:rsidRPr="00152E83" w:rsidP="008A1B1D" w14:paraId="3F36BC39" w14:textId="06F40CF6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bookmarkStart w:id="1" w:name="ART2"/>
      <w:bookmarkEnd w:id="1"/>
      <w:r w:rsidRPr="00152E83">
        <w:rPr>
          <w:rFonts w:ascii="Arial" w:eastAsia="Calibri" w:hAnsi="Arial" w:cs="Arial"/>
          <w:b/>
          <w:bCs/>
          <w:szCs w:val="22"/>
        </w:rPr>
        <w:t xml:space="preserve">Art. </w:t>
      </w:r>
      <w:r w:rsidR="00152E83">
        <w:rPr>
          <w:rFonts w:ascii="Arial" w:eastAsia="Calibri" w:hAnsi="Arial" w:cs="Arial"/>
          <w:b/>
          <w:bCs/>
          <w:szCs w:val="22"/>
        </w:rPr>
        <w:t>3</w:t>
      </w:r>
      <w:r w:rsidRPr="00152E83">
        <w:rPr>
          <w:rFonts w:ascii="Arial" w:eastAsia="Calibri" w:hAnsi="Arial" w:cs="Arial"/>
          <w:b/>
          <w:bCs/>
          <w:szCs w:val="22"/>
        </w:rPr>
        <w:t>º</w:t>
      </w:r>
      <w:r w:rsidRPr="00152E83">
        <w:rPr>
          <w:rFonts w:ascii="Arial" w:eastAsia="Calibri" w:hAnsi="Arial" w:cs="Arial"/>
          <w:szCs w:val="22"/>
        </w:rPr>
        <w:t xml:space="preserve"> Sem prejuízo das sanções penais cabíveis, o candidato que prestar informação falsa com o intuito de usufruir da isenção de que trata o art. 1º estará sujeito a:</w:t>
      </w:r>
    </w:p>
    <w:p w:rsidR="00E312EA" w:rsidRPr="00152E83" w:rsidP="008A1B1D" w14:paraId="31DFAB01" w14:textId="77777777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I –</w:t>
      </w:r>
      <w:r w:rsidRPr="00152E83">
        <w:rPr>
          <w:rFonts w:ascii="Arial" w:eastAsia="Calibri" w:hAnsi="Arial" w:cs="Arial"/>
          <w:szCs w:val="22"/>
        </w:rPr>
        <w:t xml:space="preserve"> </w:t>
      </w:r>
      <w:r w:rsidRPr="00152E83">
        <w:rPr>
          <w:rFonts w:ascii="Arial" w:eastAsia="Calibri" w:hAnsi="Arial" w:cs="Arial"/>
          <w:szCs w:val="22"/>
        </w:rPr>
        <w:t>cancelamento</w:t>
      </w:r>
      <w:r w:rsidRPr="00152E83">
        <w:rPr>
          <w:rFonts w:ascii="Arial" w:eastAsia="Calibri" w:hAnsi="Arial" w:cs="Arial"/>
          <w:szCs w:val="22"/>
        </w:rPr>
        <w:t xml:space="preserve"> da inscrição e exclusão do concurso, se a falsidade for constatada antes da homologação de seu resultado;</w:t>
      </w:r>
    </w:p>
    <w:p w:rsidR="00E312EA" w:rsidRPr="00152E83" w:rsidP="008A1B1D" w14:paraId="6CB00619" w14:textId="77777777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II –</w:t>
      </w:r>
      <w:r w:rsidRPr="00152E83">
        <w:rPr>
          <w:rFonts w:ascii="Arial" w:eastAsia="Calibri" w:hAnsi="Arial" w:cs="Arial"/>
          <w:szCs w:val="22"/>
        </w:rPr>
        <w:t xml:space="preserve"> </w:t>
      </w:r>
      <w:r w:rsidRPr="00152E83">
        <w:rPr>
          <w:rFonts w:ascii="Arial" w:eastAsia="Calibri" w:hAnsi="Arial" w:cs="Arial"/>
          <w:szCs w:val="22"/>
        </w:rPr>
        <w:t>exclusão</w:t>
      </w:r>
      <w:r w:rsidRPr="00152E83">
        <w:rPr>
          <w:rFonts w:ascii="Arial" w:eastAsia="Calibri" w:hAnsi="Arial" w:cs="Arial"/>
          <w:szCs w:val="22"/>
        </w:rPr>
        <w:t xml:space="preserve"> da lista de aprovados, se a falsidade for constatada após a homologação do resultado e antes da nomeação para o cargo;</w:t>
      </w:r>
    </w:p>
    <w:p w:rsidR="00E312EA" w:rsidRPr="00152E83" w:rsidP="008A1B1D" w14:paraId="37E6EAE3" w14:textId="77777777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r w:rsidRPr="00152E83">
        <w:rPr>
          <w:rFonts w:ascii="Arial" w:eastAsia="Calibri" w:hAnsi="Arial" w:cs="Arial"/>
          <w:b/>
          <w:bCs/>
          <w:szCs w:val="22"/>
        </w:rPr>
        <w:t>III –</w:t>
      </w:r>
      <w:r w:rsidRPr="00152E83">
        <w:rPr>
          <w:rFonts w:ascii="Arial" w:eastAsia="Calibri" w:hAnsi="Arial" w:cs="Arial"/>
          <w:szCs w:val="22"/>
        </w:rPr>
        <w:t xml:space="preserve"> declaração de nulidade do ato de nomeação, se a falsidade for constatada após a sua publicação.</w:t>
      </w:r>
    </w:p>
    <w:p w:rsidR="00E312EA" w:rsidRPr="00152E83" w:rsidP="008A1B1D" w14:paraId="30CDDF68" w14:textId="6FB9F89C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bookmarkStart w:id="2" w:name="ART3"/>
      <w:bookmarkEnd w:id="2"/>
      <w:r w:rsidRPr="00152E83">
        <w:rPr>
          <w:rFonts w:ascii="Arial" w:eastAsia="Calibri" w:hAnsi="Arial" w:cs="Arial"/>
          <w:b/>
          <w:bCs/>
          <w:szCs w:val="22"/>
        </w:rPr>
        <w:t xml:space="preserve">Art. </w:t>
      </w:r>
      <w:r w:rsidR="00152E83">
        <w:rPr>
          <w:rFonts w:ascii="Arial" w:eastAsia="Calibri" w:hAnsi="Arial" w:cs="Arial"/>
          <w:b/>
          <w:bCs/>
          <w:szCs w:val="22"/>
        </w:rPr>
        <w:t>4</w:t>
      </w:r>
      <w:r w:rsidRPr="00152E83">
        <w:rPr>
          <w:rFonts w:ascii="Arial" w:eastAsia="Calibri" w:hAnsi="Arial" w:cs="Arial"/>
          <w:b/>
          <w:bCs/>
          <w:szCs w:val="22"/>
        </w:rPr>
        <w:t>º</w:t>
      </w:r>
      <w:r w:rsidRPr="00152E83">
        <w:rPr>
          <w:rFonts w:ascii="Arial" w:eastAsia="Calibri" w:hAnsi="Arial" w:cs="Arial"/>
          <w:szCs w:val="22"/>
        </w:rPr>
        <w:t xml:space="preserve"> O edital do concurso deverá informar sobre a isenção de que trata esta Lei e sobre as sanções aplicáveis aos candidatos que venham a prestar informação falsa, referidas no art. 2º.</w:t>
      </w:r>
    </w:p>
    <w:p w:rsidR="00E312EA" w:rsidRPr="00152E83" w:rsidP="008A1B1D" w14:paraId="6500638F" w14:textId="696AEA6F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bookmarkStart w:id="3" w:name="ART4"/>
      <w:bookmarkEnd w:id="3"/>
      <w:r w:rsidRPr="00152E83">
        <w:rPr>
          <w:rFonts w:ascii="Arial" w:eastAsia="Calibri" w:hAnsi="Arial" w:cs="Arial"/>
          <w:b/>
          <w:bCs/>
          <w:szCs w:val="22"/>
        </w:rPr>
        <w:t xml:space="preserve">Art. </w:t>
      </w:r>
      <w:r w:rsidR="00152E83">
        <w:rPr>
          <w:rFonts w:ascii="Arial" w:eastAsia="Calibri" w:hAnsi="Arial" w:cs="Arial"/>
          <w:b/>
          <w:bCs/>
          <w:szCs w:val="22"/>
        </w:rPr>
        <w:t>5</w:t>
      </w:r>
      <w:r w:rsidRPr="00152E83">
        <w:rPr>
          <w:rFonts w:ascii="Arial" w:eastAsia="Calibri" w:hAnsi="Arial" w:cs="Arial"/>
          <w:b/>
          <w:bCs/>
          <w:szCs w:val="22"/>
        </w:rPr>
        <w:t>º</w:t>
      </w:r>
      <w:r w:rsidRPr="00152E83">
        <w:rPr>
          <w:rFonts w:ascii="Arial" w:eastAsia="Calibri" w:hAnsi="Arial" w:cs="Arial"/>
          <w:szCs w:val="22"/>
        </w:rPr>
        <w:t xml:space="preserve"> A isenção de que trata esta Lei não se aplica aos concursos públicos cujos editais tenham sido publicados anteriormente à sua vigência.</w:t>
      </w:r>
    </w:p>
    <w:p w:rsidR="00E312EA" w:rsidRPr="00152E83" w:rsidP="008A1B1D" w14:paraId="5AF8496D" w14:textId="23544FD9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Arial" w:eastAsia="Calibri" w:hAnsi="Arial" w:cs="Arial"/>
          <w:szCs w:val="22"/>
        </w:rPr>
      </w:pPr>
      <w:bookmarkStart w:id="4" w:name="ART5"/>
      <w:bookmarkEnd w:id="4"/>
      <w:r w:rsidRPr="00152E83">
        <w:rPr>
          <w:rFonts w:ascii="Arial" w:eastAsia="Calibri" w:hAnsi="Arial" w:cs="Arial"/>
          <w:b/>
          <w:bCs/>
          <w:szCs w:val="22"/>
        </w:rPr>
        <w:t xml:space="preserve">Art. </w:t>
      </w:r>
      <w:r w:rsidR="00152E83">
        <w:rPr>
          <w:rFonts w:ascii="Arial" w:eastAsia="Calibri" w:hAnsi="Arial" w:cs="Arial"/>
          <w:b/>
          <w:bCs/>
          <w:szCs w:val="22"/>
        </w:rPr>
        <w:t>6</w:t>
      </w:r>
      <w:r w:rsidRPr="00152E83">
        <w:rPr>
          <w:rFonts w:ascii="Arial" w:eastAsia="Calibri" w:hAnsi="Arial" w:cs="Arial"/>
          <w:b/>
          <w:bCs/>
          <w:szCs w:val="22"/>
        </w:rPr>
        <w:t>º</w:t>
      </w:r>
      <w:r w:rsidRPr="00152E83">
        <w:rPr>
          <w:rFonts w:ascii="Arial" w:eastAsia="Calibri" w:hAnsi="Arial" w:cs="Arial"/>
          <w:szCs w:val="22"/>
        </w:rPr>
        <w:t xml:space="preserve"> Esta Lei entra em vigor na data de sua publicação.</w:t>
      </w:r>
    </w:p>
    <w:p w:rsidR="008A1B1D" w:rsidRPr="00152E83" w:rsidP="008A1B1D" w14:paraId="4CC34AF6" w14:textId="77777777">
      <w:pPr>
        <w:spacing w:line="360" w:lineRule="auto"/>
        <w:ind w:firstLine="567"/>
        <w:jc w:val="right"/>
        <w:rPr>
          <w:rFonts w:ascii="Arial" w:eastAsia="Cambria" w:hAnsi="Arial" w:cs="Arial"/>
          <w:color w:val="000000"/>
          <w:sz w:val="24"/>
          <w:szCs w:val="24"/>
          <w:highlight w:val="white"/>
        </w:rPr>
      </w:pPr>
    </w:p>
    <w:p w:rsidR="008A1B1D" w:rsidRPr="00152E83" w:rsidP="008A1B1D" w14:paraId="199166E6" w14:textId="77777777">
      <w:pPr>
        <w:spacing w:line="360" w:lineRule="auto"/>
        <w:ind w:firstLine="567"/>
        <w:jc w:val="right"/>
        <w:rPr>
          <w:rFonts w:ascii="Arial" w:eastAsia="Cambria" w:hAnsi="Arial" w:cs="Arial"/>
          <w:color w:val="000000"/>
          <w:sz w:val="24"/>
          <w:szCs w:val="24"/>
          <w:highlight w:val="white"/>
        </w:rPr>
      </w:pPr>
    </w:p>
    <w:p w:rsidR="008A1B1D" w:rsidRPr="00152E83" w:rsidP="008A1B1D" w14:paraId="3D8A6039" w14:textId="25B89C92">
      <w:pPr>
        <w:spacing w:line="360" w:lineRule="auto"/>
        <w:ind w:firstLine="567"/>
        <w:jc w:val="right"/>
        <w:rPr>
          <w:rFonts w:ascii="Arial" w:eastAsia="Cambria" w:hAnsi="Arial" w:cs="Arial"/>
          <w:color w:val="000000"/>
          <w:sz w:val="24"/>
          <w:szCs w:val="24"/>
          <w:highlight w:val="white"/>
        </w:rPr>
      </w:pPr>
      <w:r w:rsidRPr="00152E83">
        <w:rPr>
          <w:rFonts w:ascii="Arial" w:eastAsia="Cambria" w:hAnsi="Arial" w:cs="Arial"/>
          <w:color w:val="000000"/>
          <w:sz w:val="24"/>
          <w:szCs w:val="24"/>
          <w:highlight w:val="white"/>
        </w:rPr>
        <w:t xml:space="preserve">Câmara Municipal de Sumaré, </w:t>
      </w:r>
      <w:r w:rsidR="00152E83">
        <w:rPr>
          <w:rFonts w:ascii="Arial" w:eastAsia="Cambria" w:hAnsi="Arial" w:cs="Arial"/>
          <w:color w:val="000000"/>
          <w:sz w:val="24"/>
          <w:szCs w:val="24"/>
          <w:highlight w:val="white"/>
        </w:rPr>
        <w:t>29</w:t>
      </w:r>
      <w:r w:rsidRPr="00152E83">
        <w:rPr>
          <w:rFonts w:ascii="Arial" w:eastAsia="Cambria" w:hAnsi="Arial" w:cs="Arial"/>
          <w:color w:val="000000"/>
          <w:sz w:val="24"/>
          <w:szCs w:val="24"/>
          <w:highlight w:val="white"/>
        </w:rPr>
        <w:t xml:space="preserve"> de </w:t>
      </w:r>
      <w:r w:rsidR="00152E83">
        <w:rPr>
          <w:rFonts w:ascii="Arial" w:eastAsia="Cambria" w:hAnsi="Arial" w:cs="Arial"/>
          <w:color w:val="000000"/>
          <w:sz w:val="24"/>
          <w:szCs w:val="24"/>
          <w:highlight w:val="white"/>
        </w:rPr>
        <w:t>maio</w:t>
      </w:r>
      <w:r w:rsidRPr="00152E83">
        <w:rPr>
          <w:rFonts w:ascii="Arial" w:eastAsia="Cambria" w:hAnsi="Arial" w:cs="Arial"/>
          <w:color w:val="000000"/>
          <w:sz w:val="24"/>
          <w:szCs w:val="24"/>
          <w:highlight w:val="white"/>
        </w:rPr>
        <w:t xml:space="preserve"> de 2023.</w:t>
      </w:r>
    </w:p>
    <w:p w:rsidR="008A1B1D" w:rsidRPr="00152E83" w:rsidP="008A1B1D" w14:paraId="009A315E" w14:textId="77777777">
      <w:pPr>
        <w:spacing w:line="360" w:lineRule="auto"/>
        <w:jc w:val="right"/>
        <w:rPr>
          <w:rFonts w:ascii="Arial" w:eastAsia="Cambria" w:hAnsi="Arial" w:cs="Arial"/>
        </w:rPr>
      </w:pPr>
      <w:r w:rsidRPr="00152E83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-173989</wp:posOffset>
            </wp:positionV>
            <wp:extent cx="1473835" cy="104521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8176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B1D" w:rsidRPr="00152E83" w:rsidP="008A1B1D" w14:paraId="3664A1A4" w14:textId="77777777">
      <w:pPr>
        <w:spacing w:line="360" w:lineRule="auto"/>
        <w:jc w:val="right"/>
        <w:rPr>
          <w:rFonts w:ascii="Arial" w:eastAsia="Cambria" w:hAnsi="Arial" w:cs="Arial"/>
          <w:sz w:val="24"/>
        </w:rPr>
      </w:pPr>
    </w:p>
    <w:p w:rsidR="008A1B1D" w:rsidRPr="00152E83" w:rsidP="008A1B1D" w14:paraId="4D99D6C9" w14:textId="77777777">
      <w:pPr>
        <w:jc w:val="center"/>
        <w:rPr>
          <w:rFonts w:ascii="Arial" w:eastAsia="Cambria" w:hAnsi="Arial" w:cs="Arial"/>
          <w:b/>
          <w:color w:val="000000"/>
          <w:sz w:val="24"/>
          <w:highlight w:val="white"/>
        </w:rPr>
      </w:pP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ANDRE DA FARMÁCIA</w:t>
      </w:r>
    </w:p>
    <w:p w:rsidR="008A1B1D" w:rsidRPr="00152E83" w:rsidP="008A1B1D" w14:paraId="21D1C9E4" w14:textId="77777777">
      <w:pPr>
        <w:jc w:val="center"/>
        <w:rPr>
          <w:rFonts w:ascii="Arial" w:eastAsia="Cambria" w:hAnsi="Arial" w:cs="Arial"/>
          <w:b/>
          <w:color w:val="000000"/>
          <w:sz w:val="24"/>
          <w:highlight w:val="white"/>
        </w:rPr>
      </w:pP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VEREADOR</w:t>
      </w:r>
    </w:p>
    <w:p w:rsidR="00DF4E1C" w:rsidP="008A1B1D" w14:paraId="4ADCFB3B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3692CE97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41AB9488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58C2C326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65C4291E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5F572544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RPr="00F51D06" w:rsidP="00F51D06" w14:paraId="181FCBFE" w14:textId="79F92F05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F51D06">
        <w:rPr>
          <w:rFonts w:ascii="Arial" w:hAnsi="Arial" w:cs="Arial"/>
          <w:b/>
          <w:sz w:val="24"/>
          <w:szCs w:val="24"/>
        </w:rPr>
        <w:t>Justificativa</w:t>
      </w:r>
    </w:p>
    <w:p w:rsidR="00DF4E1C" w:rsidRPr="001E6978" w:rsidP="001E6978" w14:paraId="555D4AF9" w14:textId="02108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6978">
        <w:rPr>
          <w:rFonts w:ascii="Arial" w:hAnsi="Arial" w:cs="Arial"/>
          <w:sz w:val="24"/>
          <w:szCs w:val="24"/>
        </w:rPr>
        <w:t xml:space="preserve">O presente projeto tem o objetivo </w:t>
      </w:r>
      <w:r w:rsidRPr="001E6978">
        <w:rPr>
          <w:rFonts w:ascii="Arial" w:hAnsi="Arial" w:cs="Arial"/>
          <w:sz w:val="24"/>
          <w:szCs w:val="24"/>
        </w:rPr>
        <w:t xml:space="preserve">de isentar do pagamento de inscrição do concurso público municipal os candidatos </w:t>
      </w:r>
      <w:r w:rsidRPr="001E6978">
        <w:rPr>
          <w:rFonts w:ascii="Arial" w:hAnsi="Arial" w:cs="Arial"/>
          <w:sz w:val="24"/>
          <w:szCs w:val="24"/>
        </w:rPr>
        <w:t>que pertençam a família inscrita no Cadastro Único para Programas Sociais (</w:t>
      </w:r>
      <w:r w:rsidRPr="001E6978">
        <w:rPr>
          <w:rFonts w:ascii="Arial" w:hAnsi="Arial" w:cs="Arial"/>
          <w:sz w:val="24"/>
          <w:szCs w:val="24"/>
        </w:rPr>
        <w:t>CadÚnico</w:t>
      </w:r>
      <w:r w:rsidRPr="001E6978">
        <w:rPr>
          <w:rFonts w:ascii="Arial" w:hAnsi="Arial" w:cs="Arial"/>
          <w:sz w:val="24"/>
          <w:szCs w:val="24"/>
        </w:rPr>
        <w:t>), do Governo Federal, cuja renda familiar mensal per capita seja inferior ou igual a meio salário-mínimo nacional</w:t>
      </w:r>
      <w:r w:rsidRPr="001E6978">
        <w:rPr>
          <w:rFonts w:ascii="Arial" w:hAnsi="Arial" w:cs="Arial"/>
          <w:sz w:val="24"/>
          <w:szCs w:val="24"/>
        </w:rPr>
        <w:t xml:space="preserve"> e </w:t>
      </w:r>
      <w:r w:rsidRPr="001E6978">
        <w:rPr>
          <w:rFonts w:ascii="Arial" w:hAnsi="Arial" w:cs="Arial"/>
          <w:sz w:val="24"/>
          <w:szCs w:val="24"/>
        </w:rPr>
        <w:t>os candidatos doadores de medula óssea em entidades reconhecidas pelo Ministério da Saúde</w:t>
      </w:r>
      <w:r w:rsidRPr="001E6978">
        <w:rPr>
          <w:rFonts w:ascii="Arial" w:hAnsi="Arial" w:cs="Arial"/>
          <w:sz w:val="24"/>
          <w:szCs w:val="24"/>
        </w:rPr>
        <w:t>.</w:t>
      </w:r>
    </w:p>
    <w:p w:rsidR="00F51D06" w:rsidRPr="001E6978" w:rsidP="001E6978" w14:paraId="38E0F737" w14:textId="58DA024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6978">
        <w:rPr>
          <w:rFonts w:ascii="Arial" w:hAnsi="Arial" w:cs="Arial"/>
          <w:sz w:val="24"/>
          <w:szCs w:val="24"/>
        </w:rPr>
        <w:t xml:space="preserve">De início, cumpre-se evidenciar que a isenção da taxa de inscrição para candidatos cuja renda familiar </w:t>
      </w:r>
      <w:r w:rsidRPr="001E6978">
        <w:rPr>
          <w:rFonts w:ascii="Arial" w:hAnsi="Arial" w:cs="Arial"/>
          <w:sz w:val="24"/>
          <w:szCs w:val="24"/>
        </w:rPr>
        <w:t>mensal per capita seja inferior ou igual a meio salário-mínimo nacional</w:t>
      </w:r>
      <w:r w:rsidRPr="001E6978">
        <w:rPr>
          <w:rFonts w:ascii="Arial" w:hAnsi="Arial" w:cs="Arial"/>
          <w:sz w:val="24"/>
          <w:szCs w:val="24"/>
        </w:rPr>
        <w:t xml:space="preserve"> tem a finalidade de conferir isonomia aos certames públicos de provimento em cargos efetivos do município de Sumaré. Em vista disso, a isenção proporciona a população</w:t>
      </w:r>
      <w:r w:rsidRPr="001E6978" w:rsidR="001924F2">
        <w:rPr>
          <w:rFonts w:ascii="Arial" w:hAnsi="Arial" w:cs="Arial"/>
          <w:sz w:val="24"/>
          <w:szCs w:val="24"/>
        </w:rPr>
        <w:t xml:space="preserve">, que muitas vezes não tem condições de pagar as inscrições, a realização de certames municipais. Portanto, com essa isenção, confere-se a possibilidade desses candidatos a chance de ingressarem no serviço público. </w:t>
      </w:r>
    </w:p>
    <w:p w:rsidR="001E6978" w:rsidRPr="001E6978" w:rsidP="001E6978" w14:paraId="531E7A0C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6978">
        <w:rPr>
          <w:rFonts w:ascii="Arial" w:hAnsi="Arial" w:cs="Arial"/>
          <w:sz w:val="24"/>
          <w:szCs w:val="24"/>
        </w:rPr>
        <w:t>Outra isenção prevista no projeto de lei refere-se ao</w:t>
      </w:r>
      <w:r w:rsidRPr="001E6978" w:rsidR="00DF4E1C">
        <w:rPr>
          <w:rFonts w:ascii="Arial" w:hAnsi="Arial" w:cs="Arial"/>
          <w:sz w:val="24"/>
          <w:szCs w:val="24"/>
        </w:rPr>
        <w:t xml:space="preserve"> transplante de medula óssea</w:t>
      </w:r>
      <w:r w:rsidRPr="001E6978">
        <w:rPr>
          <w:rFonts w:ascii="Arial" w:hAnsi="Arial" w:cs="Arial"/>
          <w:sz w:val="24"/>
          <w:szCs w:val="24"/>
        </w:rPr>
        <w:t>. Com isso, destaca-se que este transplante</w:t>
      </w:r>
      <w:r w:rsidRPr="001E6978" w:rsidR="00DF4E1C">
        <w:rPr>
          <w:rFonts w:ascii="Arial" w:hAnsi="Arial" w:cs="Arial"/>
          <w:sz w:val="24"/>
          <w:szCs w:val="24"/>
        </w:rPr>
        <w:t xml:space="preserve"> salva vidas em todo o mundo, no entanto,</w:t>
      </w:r>
      <w:r w:rsidRPr="001E6978" w:rsidR="00DF4E1C">
        <w:rPr>
          <w:rFonts w:ascii="Arial" w:hAnsi="Arial" w:cs="Arial"/>
          <w:sz w:val="24"/>
          <w:szCs w:val="24"/>
        </w:rPr>
        <w:t xml:space="preserve"> o</w:t>
      </w:r>
      <w:r w:rsidRPr="001E6978" w:rsidR="00DF4E1C">
        <w:rPr>
          <w:rFonts w:ascii="Arial" w:hAnsi="Arial" w:cs="Arial"/>
          <w:sz w:val="24"/>
          <w:szCs w:val="24"/>
        </w:rPr>
        <w:t xml:space="preserve"> enquadramento fático e estatístico da dificuldade de conseguir um doador de medula óssea compatível com o receptador enfermo é de uma chance em 100 (cem) mil, podendo ser abreviada, ainda mais, caso o paciente tiver herança genética rara, caindo para uma chance em um milhão</w:t>
      </w:r>
      <w:r w:rsidRPr="001E6978">
        <w:rPr>
          <w:rFonts w:ascii="Arial" w:hAnsi="Arial" w:cs="Arial"/>
          <w:sz w:val="24"/>
          <w:szCs w:val="24"/>
        </w:rPr>
        <w:t>.</w:t>
      </w:r>
    </w:p>
    <w:p w:rsidR="001E6978" w:rsidRPr="001E6978" w:rsidP="001E6978" w14:paraId="708C893B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6978">
        <w:rPr>
          <w:rFonts w:ascii="Arial" w:hAnsi="Arial" w:cs="Arial"/>
          <w:sz w:val="24"/>
          <w:szCs w:val="24"/>
        </w:rPr>
        <w:t>Cabe destacar que o rol de patologias relacionado ao sistema sanguíneo e imunológico, com indicação de cura a partir do transplante de medula óssea, alcança mais de 70 (setenta) doenças, dentre as mais conhecidas estão a leucemia, linfomas, anemias graves e imunodeficiências.</w:t>
      </w:r>
    </w:p>
    <w:p w:rsidR="001E6978" w:rsidP="001E6978" w14:paraId="0F2FFF73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6978">
        <w:rPr>
          <w:rFonts w:ascii="Arial" w:hAnsi="Arial" w:cs="Arial"/>
          <w:sz w:val="24"/>
          <w:szCs w:val="24"/>
        </w:rPr>
        <w:t>Apresentado o panorama, é verificado o dever de maior atenção e, principalmente, ação do poder público para trazer enfoque à temática abordada no presente projeto de lei. O intuito da propositura é de sensibilizar mais pessoas para serem doadoras de medula óssea, salvando, assim, vidas humanas.</w:t>
      </w:r>
    </w:p>
    <w:p w:rsidR="001E6978" w:rsidP="001E6978" w14:paraId="43AA40F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1E6978" w:rsidR="00DF4E1C">
        <w:rPr>
          <w:rFonts w:ascii="Arial" w:hAnsi="Arial" w:cs="Arial"/>
          <w:sz w:val="24"/>
          <w:szCs w:val="24"/>
        </w:rPr>
        <w:t xml:space="preserve">O instrumento utilizado para satisfazer os objetivos destacados é conceder isenção da taxa de inscrição em concursos públicos municipais, haja vista que o valor </w:t>
      </w:r>
      <w:r w:rsidRPr="001E6978" w:rsidR="00DF4E1C">
        <w:rPr>
          <w:rFonts w:ascii="Arial" w:hAnsi="Arial" w:cs="Arial"/>
          <w:sz w:val="24"/>
          <w:szCs w:val="24"/>
        </w:rPr>
        <w:t>arrecadado com a realização de concursos públicos não é considerado como receita aos cofres municipais.</w:t>
      </w:r>
    </w:p>
    <w:p w:rsidR="00DF4E1C" w:rsidRPr="001E6978" w:rsidP="001E6978" w14:paraId="17FE5EA5" w14:textId="19E0BE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1E6978">
        <w:rPr>
          <w:rFonts w:ascii="Arial" w:hAnsi="Arial" w:cs="Arial"/>
          <w:sz w:val="24"/>
          <w:szCs w:val="24"/>
        </w:rPr>
        <w:t>Por derradeiro, é imperioso ressaltar que o transplante é um processo simples, onde é retirado apenas 10 a 15% da medula óssea para salvar uma vida. Ressaltando que em cerca de 15 a 20 dias, o doador tem suas células regeneradas por completo, não havendo riscos aos doadores, apenas ocorre a habilitação para salvar uma vida humana.</w:t>
      </w:r>
    </w:p>
    <w:p w:rsidR="006D1E9A" w:rsidRPr="001E6978" w:rsidP="001E6978" w14:paraId="07A8F1E3" w14:textId="43E49F3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6978">
        <w:rPr>
          <w:rFonts w:ascii="Arial" w:hAnsi="Arial" w:cs="Arial"/>
          <w:sz w:val="24"/>
          <w:szCs w:val="24"/>
        </w:rPr>
        <w:t>Ante o exposto, proponho o presente Projeto de Lei, esperando contar com a colaboração dos Nobres Pares na sua aprovação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479B"/>
    <w:rsid w:val="00104AAA"/>
    <w:rsid w:val="00152E83"/>
    <w:rsid w:val="0015657E"/>
    <w:rsid w:val="00156CF8"/>
    <w:rsid w:val="001924F2"/>
    <w:rsid w:val="001D5C81"/>
    <w:rsid w:val="001E6978"/>
    <w:rsid w:val="0023689D"/>
    <w:rsid w:val="00444234"/>
    <w:rsid w:val="00460A32"/>
    <w:rsid w:val="00467A72"/>
    <w:rsid w:val="004B2CC9"/>
    <w:rsid w:val="0051286F"/>
    <w:rsid w:val="00601B0A"/>
    <w:rsid w:val="00626437"/>
    <w:rsid w:val="00632FA0"/>
    <w:rsid w:val="006C41A4"/>
    <w:rsid w:val="006D1E9A"/>
    <w:rsid w:val="00822396"/>
    <w:rsid w:val="008A1B1D"/>
    <w:rsid w:val="00A06CF2"/>
    <w:rsid w:val="00AE6AEE"/>
    <w:rsid w:val="00B95790"/>
    <w:rsid w:val="00C00C1E"/>
    <w:rsid w:val="00C36776"/>
    <w:rsid w:val="00CD6B58"/>
    <w:rsid w:val="00CF401E"/>
    <w:rsid w:val="00DF4E1C"/>
    <w:rsid w:val="00E312E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B149-2AC7-43B6-BAB5-BC7E4678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798</Words>
  <Characters>4314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2023-05-29T15:30:00Z</dcterms:created>
  <dcterms:modified xsi:type="dcterms:W3CDTF">2023-05-29T16:43:00Z</dcterms:modified>
</cp:coreProperties>
</file>