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Obriga os proprietários de imóveis em situação de abandono a manterem os imóveis em boas condições para evitar a prática de atividades criminosas em tais imóvei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