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Obriga os proprietários de imóveis em situação de abandono a manterem os imóveis em boas condições para evitar a prática de atividades criminosas em tais imóveis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