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14/2023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SILVA, 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Campanha Municipal Permanente de Combate às Fraudes e Golpes praticados via telefone, internet e aplicativos.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