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452D2F20" w:rsidP="452D2F20" w14:paraId="7B15BA16" w14:textId="093F5F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3664C6">
        <w:rPr>
          <w:rFonts w:ascii="Arial" w:hAnsi="Arial" w:cs="Arial"/>
          <w:sz w:val="24"/>
          <w:szCs w:val="24"/>
        </w:rPr>
        <w:t>a reforma</w:t>
      </w:r>
      <w:r w:rsidRPr="452D2F20">
        <w:rPr>
          <w:rFonts w:ascii="Arial" w:hAnsi="Arial" w:cs="Arial"/>
          <w:sz w:val="24"/>
          <w:szCs w:val="24"/>
        </w:rPr>
        <w:t xml:space="preserve"> d</w:t>
      </w:r>
      <w:r w:rsidR="003664C6">
        <w:rPr>
          <w:rFonts w:ascii="Arial" w:hAnsi="Arial" w:cs="Arial"/>
          <w:sz w:val="24"/>
          <w:szCs w:val="24"/>
        </w:rPr>
        <w:t>o</w:t>
      </w:r>
      <w:r w:rsidRPr="452D2F20">
        <w:rPr>
          <w:rFonts w:ascii="Arial" w:hAnsi="Arial" w:cs="Arial"/>
          <w:sz w:val="24"/>
          <w:szCs w:val="24"/>
        </w:rPr>
        <w:t xml:space="preserve"> </w:t>
      </w:r>
      <w:r w:rsidR="00025279">
        <w:rPr>
          <w:rFonts w:ascii="Arial" w:hAnsi="Arial" w:cs="Arial"/>
          <w:sz w:val="24"/>
          <w:szCs w:val="24"/>
        </w:rPr>
        <w:t>sarjetão</w:t>
      </w:r>
      <w:r w:rsidRPr="452D2F20">
        <w:rPr>
          <w:rFonts w:ascii="Arial" w:hAnsi="Arial" w:cs="Arial"/>
          <w:sz w:val="24"/>
          <w:szCs w:val="24"/>
        </w:rPr>
        <w:t xml:space="preserve"> </w:t>
      </w:r>
      <w:r w:rsidR="003664C6">
        <w:rPr>
          <w:rFonts w:ascii="Arial" w:hAnsi="Arial" w:cs="Arial"/>
          <w:sz w:val="24"/>
          <w:szCs w:val="24"/>
        </w:rPr>
        <w:t>que fica entre a</w:t>
      </w:r>
      <w:r w:rsidRPr="452D2F20">
        <w:rPr>
          <w:rFonts w:ascii="Arial" w:hAnsi="Arial" w:cs="Arial"/>
          <w:sz w:val="24"/>
          <w:szCs w:val="24"/>
        </w:rPr>
        <w:t xml:space="preserve"> Rua </w:t>
      </w:r>
      <w:r w:rsidR="003664C6">
        <w:rPr>
          <w:rFonts w:ascii="Arial" w:hAnsi="Arial" w:cs="Arial"/>
          <w:sz w:val="24"/>
          <w:szCs w:val="24"/>
        </w:rPr>
        <w:t>Sidiney</w:t>
      </w:r>
      <w:r w:rsidR="003664C6">
        <w:rPr>
          <w:rFonts w:ascii="Arial" w:hAnsi="Arial" w:cs="Arial"/>
          <w:sz w:val="24"/>
          <w:szCs w:val="24"/>
        </w:rPr>
        <w:t xml:space="preserve"> Lúcio Ribeiro e a Rua Santa Clara, no Jardim Santa Clara.</w:t>
      </w:r>
    </w:p>
    <w:p w:rsidR="452D2F20" w:rsidP="452D2F20" w14:paraId="25F061B3" w14:textId="135A1A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A indicação se faz necessária devido aos inúmeros prejuízos causados pelo </w:t>
      </w:r>
      <w:r w:rsidR="00025279">
        <w:rPr>
          <w:rFonts w:ascii="Arial" w:hAnsi="Arial" w:cs="Arial"/>
          <w:sz w:val="24"/>
          <w:szCs w:val="24"/>
        </w:rPr>
        <w:t>sargetão</w:t>
      </w:r>
      <w:r w:rsidRPr="452D2F20">
        <w:rPr>
          <w:rFonts w:ascii="Arial" w:hAnsi="Arial" w:cs="Arial"/>
          <w:sz w:val="24"/>
          <w:szCs w:val="24"/>
        </w:rPr>
        <w:t xml:space="preserve"> se manter desta maneira como possíveis acidentes, alagamentos e outros impactos sociais e ambientais significativos.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E375D47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Sumaré, </w:t>
      </w:r>
      <w:r w:rsidR="003664C6">
        <w:rPr>
          <w:rFonts w:ascii="Arial" w:hAnsi="Arial" w:cs="Arial"/>
          <w:sz w:val="24"/>
          <w:szCs w:val="24"/>
        </w:rPr>
        <w:t>23</w:t>
      </w:r>
      <w:r w:rsidRPr="452D2F20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9316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3255"/>
    <w:rsid w:val="00025279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499B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4C6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2627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699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5990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01B2"/>
    <w:rsid w:val="0088403A"/>
    <w:rsid w:val="00885986"/>
    <w:rsid w:val="00885AFA"/>
    <w:rsid w:val="00893493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18B8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5C57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005D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4EA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476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2021-02-23T13:30:00Z</dcterms:created>
  <dcterms:modified xsi:type="dcterms:W3CDTF">2021-02-23T13:30:00Z</dcterms:modified>
</cp:coreProperties>
</file>