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E12C58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439BE" w:rsidR="00A439BE">
        <w:rPr>
          <w:rFonts w:ascii="Tahoma" w:hAnsi="Tahoma" w:cs="Tahoma"/>
          <w:b/>
          <w:sz w:val="24"/>
          <w:szCs w:val="24"/>
        </w:rPr>
        <w:t>Rua Olga Bittencourt de Andrade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439BE">
        <w:rPr>
          <w:rFonts w:ascii="Tahoma" w:hAnsi="Tahoma" w:cs="Tahoma"/>
          <w:bCs/>
          <w:sz w:val="24"/>
          <w:szCs w:val="24"/>
        </w:rPr>
        <w:t>184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439BE" w:rsidR="00A439BE">
        <w:rPr>
          <w:rFonts w:ascii="Tahoma" w:hAnsi="Tahoma" w:cs="Tahoma"/>
          <w:b/>
          <w:sz w:val="24"/>
          <w:szCs w:val="24"/>
        </w:rPr>
        <w:t>Parque Residencial Casarão</w:t>
      </w:r>
      <w:r w:rsidR="00A439B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A439BE" w:rsidP="00A439BE" w14:paraId="535D8C3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7125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439BE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2023-05-09T12:33:00Z</dcterms:created>
  <dcterms:modified xsi:type="dcterms:W3CDTF">2023-05-09T12:33:00Z</dcterms:modified>
</cp:coreProperties>
</file>