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3E114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D05BDE">
        <w:rPr>
          <w:rFonts w:ascii="Arial" w:hAnsi="Arial" w:cs="Arial"/>
          <w:sz w:val="24"/>
          <w:szCs w:val="24"/>
        </w:rPr>
        <w:t xml:space="preserve"> conclusão do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D05BDE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A11E68">
        <w:rPr>
          <w:rFonts w:ascii="Arial" w:hAnsi="Arial" w:cs="Arial"/>
          <w:sz w:val="24"/>
          <w:szCs w:val="24"/>
        </w:rPr>
        <w:t>Dirceu Augusto Denis, Jardim Lucia.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1B3AF8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F5C04">
        <w:rPr>
          <w:rFonts w:ascii="Arial" w:hAnsi="Arial" w:cs="Arial"/>
          <w:sz w:val="24"/>
          <w:szCs w:val="24"/>
        </w:rPr>
        <w:t>23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084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4C87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34B9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002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52BD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1E6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05BD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CA2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081F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C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2021-02-23T13:16:00Z</dcterms:created>
  <dcterms:modified xsi:type="dcterms:W3CDTF">2021-02-23T13:16:00Z</dcterms:modified>
</cp:coreProperties>
</file>