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“ACRESCENTA E ALTERA DISPOSITIVOS DA LEI MUNICIPAL Nº 5.695, DE 28 DE NOVEMBRO DE 2014, E REVOGA E ALTERA DISPOSITIVOS DA LEI MUNICIPAL Nº 4.891, DE 12 DE NOVEMBRO DE 2009”.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