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155/2022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o Projeto de Lei 155/2022, que dispõe sobre a proibição do consumo de dispositivos eletrônicos para fumar nas escolas do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