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B04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D805E4">
        <w:rPr>
          <w:rFonts w:ascii="Arial" w:hAnsi="Arial" w:cs="Arial"/>
          <w:sz w:val="24"/>
          <w:szCs w:val="24"/>
        </w:rPr>
        <w:t>Rua Antônio Gonçalves Pereira, bairro Jardim Dulce.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0F34" w:rsidP="005B0F34" w14:paraId="22BA6C7A" w14:textId="42AAC6B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A14EF">
        <w:rPr>
          <w:rFonts w:ascii="Arial" w:hAnsi="Arial" w:cs="Arial"/>
          <w:sz w:val="24"/>
          <w:szCs w:val="24"/>
        </w:rPr>
        <w:t xml:space="preserve">28 </w:t>
      </w:r>
      <w:r>
        <w:rPr>
          <w:rFonts w:ascii="Arial" w:hAnsi="Arial" w:cs="Arial"/>
          <w:sz w:val="24"/>
          <w:szCs w:val="24"/>
        </w:rPr>
        <w:t xml:space="preserve">de </w:t>
      </w:r>
      <w:r w:rsidR="00BA14E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5525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3E4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F34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86F13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8D9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A14E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4F5E"/>
    <w:rsid w:val="00C96A20"/>
    <w:rsid w:val="00CA439A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805E4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2023-04-28T12:26:00Z</dcterms:created>
  <dcterms:modified xsi:type="dcterms:W3CDTF">2023-04-28T12:26:00Z</dcterms:modified>
</cp:coreProperties>
</file>