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3C69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9E7BD2">
        <w:rPr>
          <w:sz w:val="24"/>
        </w:rPr>
        <w:t>Francisco Manoel de Souza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9E7BD2">
        <w:rPr>
          <w:sz w:val="24"/>
        </w:rPr>
        <w:t>851</w:t>
      </w:r>
      <w:r w:rsidR="006D4CE8">
        <w:rPr>
          <w:sz w:val="24"/>
        </w:rPr>
        <w:t>, cep 131</w:t>
      </w:r>
      <w:r w:rsidR="009E7BD2">
        <w:rPr>
          <w:sz w:val="24"/>
        </w:rPr>
        <w:t>75</w:t>
      </w:r>
      <w:r w:rsidR="001D7800">
        <w:rPr>
          <w:sz w:val="24"/>
        </w:rPr>
        <w:t>-</w:t>
      </w:r>
      <w:r w:rsidR="009E7BD2">
        <w:rPr>
          <w:sz w:val="24"/>
        </w:rPr>
        <w:t>500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9E7BD2">
        <w:rPr>
          <w:sz w:val="24"/>
        </w:rPr>
        <w:t>Chácara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6FCBE83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E7BD2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DDC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6731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2023-04-24T20:02:00Z</dcterms:created>
  <dcterms:modified xsi:type="dcterms:W3CDTF">2023-04-24T20:02:00Z</dcterms:modified>
</cp:coreProperties>
</file>