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Projeto de Lei Nº 109/2023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LUIZ ALFREDO CASTRO RUZZA DALBEN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Altera  dispositivos das leis Municipais nº 3949/2004 e 5824/2016 e dá outras providências.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18 de abril de 2023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4199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419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