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 dispositivos das leis Municipais nº 3949/2004 e 5824/2016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