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 a obrigatoriedade de disponibilização de oportunidade para a apresentação de grupos, bandas, cantores ou instrumentistas do município na abertura de eventos culturais que possuam financiamento público municipal.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