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Resolução Nº 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alteração da ementa e dos artigos que específica da Resolução nº 333, de 08 de março de 2023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343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3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