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Resolução Nº 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alteração da ementa e dos artigos que específica da Resolução nº 333, de 08 de março de 2023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