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Resolução Nº 6/2023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alteração da ementa e dos artigos que específica da Resolução nº 333, de 08 de março de 2023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