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Resolução Nº 6/2023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WILLIAN SOUZA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alteração da ementa e dos artigos que específica da Resolução nº 333, de 08 de março de 2023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