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Resolução Nº 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alteração da ementa e dos artigos que específica da Resolução nº 333, de 08 de março de 2023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38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3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