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Resolução Nº 6/2023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alteração da ementa e dos artigos que específica da Resolução nº 333, de 08 de março de 2023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38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3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