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lteração da ementa e dos artigos que específica da Resolução nº 333, de 08 de março de 2023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