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alteração da ementa e dos artigos que específica da Resolução nº 333, de 08 de março de 2023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