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Resolução Nº 6/2023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WILLIAN SOUZA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 alteração da ementa e dos artigos que específica da Resolução nº 333, de 08 de março de 2023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