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5FD2E9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44293">
        <w:rPr>
          <w:rFonts w:ascii="Arial" w:hAnsi="Arial" w:cs="Arial"/>
          <w:sz w:val="24"/>
          <w:szCs w:val="24"/>
        </w:rPr>
        <w:t xml:space="preserve">Alípio Cassiano Gonçalves, bairro Conjunto Habitacional Ângelo </w:t>
      </w:r>
      <w:r w:rsidR="00344293">
        <w:rPr>
          <w:rFonts w:ascii="Arial" w:hAnsi="Arial" w:cs="Arial"/>
          <w:sz w:val="24"/>
          <w:szCs w:val="24"/>
        </w:rPr>
        <w:t>Tomazin</w:t>
      </w:r>
      <w:r w:rsidR="00344293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26096" w:rsidP="00D26096" w14:paraId="0AF49A31" w14:textId="0C256A1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64113D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64113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4825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A85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604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167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2180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13D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4348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6FB6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5D7B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36E21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2E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3F5B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7E0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096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1848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2023-04-10T13:04:00Z</dcterms:created>
  <dcterms:modified xsi:type="dcterms:W3CDTF">2023-04-10T13:04:00Z</dcterms:modified>
</cp:coreProperties>
</file>