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“Acrescenta o parágrafo único ao artigo 42, dá nova redação ao artigo 47, renumera o parágrafo único e cria o parágrafo 2º ao artigo 50, todos da Lei Municipal nº 5.731, de 06 de março de 2015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