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Acrescenta parágrafo único e altera a redação do caput do art. 5º da Lei Municipal nº 3.366, de 22 de outubro de 1999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