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crescenta parágrafo único e altera a redação do caput do art. 5º da Lei Municipal nº 3.366, de 22 de outubro de 1999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