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73/2023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“Acrescenta parágrafo único e altera a redação do caput do art. 5º da Lei Municipal nº 3.366, de 22 de outubro de 1999 e dá outras providências”.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